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C3B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C3B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72 043,34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C3B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47 101,90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C3B6E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31 743,84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3B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2 400,14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3B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3B6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C3B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540,14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C3B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1 819,46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AC3B6E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14 555,71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C3B6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7 277,86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C3B6E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2017-06-22T11:53:00Z</dcterms:modified>
</cp:coreProperties>
</file>