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EF62B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д.5</w:t>
      </w:r>
      <w:r w:rsidR="00F846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F62B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29 269,08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F62B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26 794,30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F62B7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15 134,26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EF62B7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4 810,34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6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7 138,80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6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2 957,40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62B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EF62B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3 474,22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F62B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14 991,48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EF62B7" w:rsidP="000A5070">
            <w:r>
              <w:t>5 524,06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EF62B7" w:rsidP="00A83E34">
            <w:r>
              <w:t>12 652,33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EF62B7" w:rsidP="00435C99">
            <w:r>
              <w:t>3 219,60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EF62B7" w:rsidP="001B3275">
            <w:r>
              <w:t>3 926,34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EF62B7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2017-08-25T08:15:00Z</dcterms:modified>
</cp:coreProperties>
</file>